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978.xml.htm"/>
      <w:bookmarkStart w:id="1" w:name="ksmarketforms739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Boyd Peter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AQUESTIVE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TECHNOLOGY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Aquestive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AQST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92"/>
        <w:gridCol w:w="459"/>
        <w:gridCol w:w="714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X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284,024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X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2,293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12/08/2022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exercise for cash of a Common Stock Purchase Warrant issued to the Reporting Person on June 8, 2022 pursuant to a Securities Purchase Agreement dated June 6, 2022. The warrant became exercisable on December 8, 2022, expires on June 8, 2027, and has an exercise price of $0.96 per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Zalewski,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.htm"/>
      <w:bookmarkStart w:id="3" w:name="kspoa"/>
      <w:bookmarkEnd w:id="2"/>
      <w:bookmarkEnd w:id="3"/>
      <w:r>
        <w:rPr/>
        <w:t xml:space="preserve">      </w:t>
      </w:r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 and appoints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of Thomas A. Zalewski, Hillary T. Yegen, A. Ernest Toth, Jr., Ellen S.</w:t>
      </w:r>
    </w:p>
    <w:p>
      <w:pPr>
        <w:pStyle w:val="PreformattedText"/>
        <w:bidi w:val="0"/>
        <w:spacing w:before="0" w:after="0"/>
        <w:jc w:val="left"/>
        <w:rPr/>
      </w:pPr>
      <w:r>
        <w:rPr/>
        <w:t>Knarr and Christopher M. Rogers, signing singly, the undersigned's true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prepare, execute in the undersigned's name and on the undersigned's behalf,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submit to the United States Securities and Exchange Commission (the "SEC") a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ID, including amendments thereto, or any other documents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to obtain codes and passwords enabling the undersigned to make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filings with the SEC ofreports required by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1934, as amended (the "Exchange Act"), Rule 144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Act of 1933, as amended ("Rule 144"), or any rule or regulation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 via the Electronic Data Gathering and Retrieval ("EDGAR") system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legally bind the undersigned for purpose of the Form ID or such other documents;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    appointing, removing and replacing account administrators, technical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administrators, account users, and delegated entities; (ii) maintaining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of the undersigned's EDGAR account, including modification of access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codes; (iii) maintaining, modifying and certifying the accuracy of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the undersigned's EDGAR account dashboard; and (iv) taking any other 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contemplated by Rule 10 of Regulation S-T;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prepare,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of Aquestive Therapeutics, Inc., a Delaware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Forms 3, 4, and 5, and Forms 144,, each including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in accordance with Section l 6(a) of the Exchange Act and the rules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 and Rule 144, respectively;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to complete and execute any such Form ID,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amendments thereto, or Form 3, 4, or 5, or Form 144, and timely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with the SEC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(5)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 approve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 of such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 and confirming all that such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 or 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and the rights and powers herein granted.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the foregoing attorneys-in-fact, in serving in such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at the request of the undersigned, are not assuming,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any of the undersigned's responsibilities to comply with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5, and Form 144,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 issued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2 b day of May, 2026.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9816" TargetMode="External"/><Relationship Id="rId5" Type="http://schemas.openxmlformats.org/officeDocument/2006/relationships/hyperlink" Target="http://www.sec.gov/cgi-bin/browse-edgar?action=getcompany&amp;CIK=00013987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1275</Words>
  <Characters>6804</Characters>
  <CharactersWithSpaces>7975</CharactersWithSpaces>
  <Paragraphs>167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